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outlineLvl w:val="4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佛山科学技术学院2021年准入编专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val="en-US" w:eastAsia="zh-CN"/>
        </w:rPr>
        <w:t>技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岗人员招聘公告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佛山科学技术学院是一所具有60多年办学历史、拥有硕士学位授予权的广东省高水平理工科大学，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坐落在国家历史文化名城、全国文明城市、全国先进制造业基地、粤港澳大湾区重要节点城市——广东省佛山市。2013年7月经国务院学位委员会批准为硕士学位授予单位，现有机械工程、兽医学、土木工程、光学工程、材料科学与工程、畜牧学等6个硕士学位授权一级学科和教育、电子信息、农业、国际商务、兽医等5个硕士专业学位授权类别。</w:t>
      </w:r>
      <w:r>
        <w:rPr>
          <w:rFonts w:hint="eastAsia" w:ascii="仿宋_GB2312" w:eastAsia="仿宋_GB2312"/>
          <w:sz w:val="32"/>
          <w:szCs w:val="32"/>
        </w:rPr>
        <w:t>2015年整体进入广东省高水平大学重点建设高校行列，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2017年经广东省学位委员会批准为博士学位授予立项建设单位。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学校现有仙溪、江湾、河滨三个校区，校园占地面积220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hint="eastAsia" w:ascii="仿宋_GB2312" w:eastAsia="仿宋_GB2312"/>
          <w:sz w:val="32"/>
          <w:szCs w:val="32"/>
        </w:rPr>
        <w:t>亩，总建筑面积60多万平方米。现有教职工1893人，专任教师中具有高级职称600余人，具有博士学位教师近700人。学校建立了博士后培养、研究生教育、本科教育和继续教育多层次多形式的立体办学体系，设有研究生学院和16个二级学院，68个本科专业，6个硕士学位授权一级学科点和5个硕士专业学位授权类别。学校秉承“明德博学、自强有为”的校训，倡导“以人为本、求实创新的校园文化；崇尚学术、爱岗敬业的教师文化；成人成才、创业创新的学生文化”，形成了优良的办学传统和鲜明的办学特色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高水平的师资队伍、良好的校园环境、浓郁的学术氛围和全面的行政服务意识以及学校国际化视野，学校正在实现跨越式飞跃发展。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根据高水平理工科大学建设工作需要，佛山科学技术学院拟向社会公开招聘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3名准入编专技岗人员</w:t>
      </w:r>
      <w:r>
        <w:rPr>
          <w:rFonts w:hint="eastAsia" w:ascii="仿宋_GB2312" w:eastAsia="仿宋_GB2312"/>
          <w:sz w:val="32"/>
          <w:szCs w:val="32"/>
          <w:highlight w:val="none"/>
        </w:rPr>
        <w:t>，具体招聘方案</w:t>
      </w:r>
      <w:r>
        <w:rPr>
          <w:rFonts w:hint="eastAsia" w:ascii="仿宋_GB2312" w:eastAsia="仿宋_GB2312"/>
          <w:sz w:val="32"/>
          <w:szCs w:val="32"/>
        </w:rPr>
        <w:t>如下：</w:t>
      </w:r>
    </w:p>
    <w:p>
      <w:pPr>
        <w:tabs>
          <w:tab w:val="center" w:pos="4451"/>
        </w:tabs>
        <w:spacing w:line="520" w:lineRule="exact"/>
        <w:ind w:firstLine="633" w:firstLineChars="198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一、招聘岗位及人数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1.100008岗位：</w:t>
      </w:r>
      <w:r>
        <w:rPr>
          <w:rFonts w:hint="eastAsia" w:ascii="仿宋_GB2312" w:eastAsia="仿宋_GB2312"/>
          <w:sz w:val="32"/>
          <w:szCs w:val="32"/>
        </w:rPr>
        <w:t>1名（专业技术岗）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，从事法律事务及相关工作；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2.100009岗位：</w:t>
      </w:r>
      <w:r>
        <w:rPr>
          <w:rFonts w:hint="eastAsia" w:ascii="仿宋_GB2312" w:eastAsia="仿宋_GB2312"/>
          <w:sz w:val="32"/>
          <w:szCs w:val="32"/>
        </w:rPr>
        <w:t>2名（专业技术岗）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，从事审计事务及相关工作。</w:t>
      </w:r>
    </w:p>
    <w:p>
      <w:pPr>
        <w:widowControl/>
        <w:spacing w:line="52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二、薪酬待遇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工资待遇参照国家事业单位及学校有关政策规定执行。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入职满2年后，经考核合格后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择优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入编。</w:t>
      </w:r>
    </w:p>
    <w:p>
      <w:pPr>
        <w:spacing w:line="5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三、招聘范围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面向社会。</w:t>
      </w:r>
    </w:p>
    <w:p>
      <w:pPr>
        <w:spacing w:line="5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四、招聘条件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应聘人员应同时具备下列基本条件及岗位任职条件：</w:t>
      </w:r>
    </w:p>
    <w:p>
      <w:pPr>
        <w:spacing w:line="520" w:lineRule="exact"/>
        <w:ind w:firstLine="643" w:firstLineChars="200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（一）基本条件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1.具有中华人民共和国国籍；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2.具有较高的政治素质和坚定的理想信念，坚决贯彻执行党的基本路线和各项方针政策，有较强的政治敏感性和政治辨别力；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3.具有良好的职业道德、科学研究素养和团队合作精神。具有强烈的事业心和责任感；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4.具备较强的组织管理能力和语言、文字表达能力；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5.具有较强的纪律观念和规矩意识，遵纪守法，为人正直，作风正派，廉洁自律；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6.具备岗位所需的专业或者技能条件，具有扎实的专业知识并熟悉业务；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7.适应岗位要求的身体条件。</w:t>
      </w:r>
    </w:p>
    <w:p>
      <w:pPr>
        <w:spacing w:line="520" w:lineRule="exact"/>
        <w:ind w:firstLine="643" w:firstLineChars="200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（二）岗位任职条件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1.学历学位要求：硕士研究生及以上学历，硕士及以上学位。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2.年龄要求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</w:t>
      </w:r>
      <w:r>
        <w:rPr>
          <w:rFonts w:ascii="仿宋_GB2312" w:hAnsi="宋体" w:eastAsia="仿宋_GB2312" w:cs="宋体"/>
          <w:kern w:val="0"/>
          <w:sz w:val="32"/>
          <w:szCs w:val="32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周岁及以下（截止至报名开始当天）；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届毕业生可报名，不限年龄，但须于202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年9月30日前取得相应毕业证书、学位证书，否则视为放弃聘用。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3.专业要求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(岗位代码参考广东省2020年考试录用公务员专业参考目录)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（1）100008岗位专业要求：</w:t>
      </w:r>
    </w:p>
    <w:p>
      <w:pPr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本科阶段专业为：法学（B030101）或知识产权（B030102）；</w:t>
      </w:r>
    </w:p>
    <w:p>
      <w:pPr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生阶段专业为：法学理论（A030101）、法律史（A030102）、宪法学与行政法学（A030103）、刑法学（A030104）、民商法学（含：劳动法学、社会保障法学）（A030105）、诉讼法学（A030106）、经济法学（A030107）、国际法学（含：国际公法、国际私法、国际经济法）（A030109）或法律硕士（A030111）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（2）100009岗位专业要求：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本科阶段专业为：会计学（B120203）、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金融学（B020301）、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审计学（B120207）或财务管理（B120204）；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研究生阶段专业为：会计学（A120201）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金融学（含∶保险学）（A020204）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或审计硕士(A020217)。</w:t>
      </w:r>
    </w:p>
    <w:p>
      <w:pPr>
        <w:spacing w:line="520" w:lineRule="exact"/>
        <w:ind w:firstLine="643" w:firstLineChars="200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 xml:space="preserve">（三）有下列情况之一者，不得报考 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1.受行政开除处分未满5年或其它行政处分正在处分期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内的。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2.曾因超生被有关单位依照人口与计划生育有关规定作出处理决定，从该处理决定作出之日起未满5年的。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3.近两年内，在机关、事业单位招录（聘）考试、体检或考察中存在违纪行为的。 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4.因涉嫌违法违纪正在接受审计、纪律审查或者涉嫌犯罪，司法程序尚未终结的；或者刑事处罚期限未满的人员。 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5.法律、法规规定的其它不得应聘的情形。</w:t>
      </w:r>
    </w:p>
    <w:p>
      <w:pPr>
        <w:spacing w:line="52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五、报名与资格审查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（一）报名办法：本次招聘考试采取网络报名的方式，报考人员须登录学校招聘网站（</w:t>
      </w:r>
      <w:r>
        <w:rPr>
          <w:rFonts w:ascii="仿宋_GB2312" w:hAnsi="仿宋_GB2312" w:eastAsia="仿宋_GB2312"/>
          <w:sz w:val="28"/>
          <w:szCs w:val="28"/>
        </w:rPr>
        <w:t>https://rczp.fosu.edu.cn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，并经过“网上报名”和“资格审查”两个步骤完成报名手续。报考人员须使用第二代居民身份证进行报考及参加考试。报考人员要践行诚信报考、诚信考试。报名时，报考人员提交的报考申请材料应当真实、准确。凡提供虚假报考申请材料的，一经查实，即取消报考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1．网上报名。网上报名时间为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2021年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日至2020年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。考生在上述时间登录学校招聘网站（</w:t>
      </w:r>
      <w:r>
        <w:rPr>
          <w:rFonts w:ascii="仿宋_GB2312" w:hAnsi="仿宋_GB2312" w:eastAsia="仿宋_GB2312"/>
          <w:sz w:val="28"/>
          <w:szCs w:val="28"/>
        </w:rPr>
        <w:t>https://rczp.fosu.edu.cn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</w:rPr>
        <w:t>选择“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行政人员</w:t>
      </w:r>
      <w:r>
        <w:rPr>
          <w:rFonts w:ascii="仿宋_GB2312" w:hAnsi="宋体" w:eastAsia="仿宋_GB2312" w:cs="宋体"/>
          <w:kern w:val="0"/>
          <w:sz w:val="32"/>
          <w:szCs w:val="32"/>
        </w:rPr>
        <w:t>”模块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进行报名，填写个人情况，提交报考申请，并上传本人近期免冠2寸正面证件电子照片（格式为.JPG格式，大小为20KB以下）。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2．资格审查。报名人员在完成网上提交报考申请后，我单位对报名人员进行网上资料填报资格审查。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3．报名结果查询。报考人员可登录网上报名系统查询资格审查结果。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4．打印准考证。通过资格审查后，报考人员应于考试前5天登录网上报名系统下载打印准考证。</w:t>
      </w:r>
    </w:p>
    <w:p>
      <w:pPr>
        <w:spacing w:line="5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六、考试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1.初试：考生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应在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初试前30分钟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到达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候考室，不在规定时间内到达的，视为放弃资格。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初试内容为岗位相关知识和综合能力测试等。初试成绩按百分制计算，根据初试成绩从高分到低分排序，按1：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的比例确定复试人选，如参加初试人数少于1: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则按实际人数确定。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2.复试（面试）：复试前30分钟抽签确定复试顺序，考生不在规定时间内到达候考室的，视为放弃资格。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进入复试环节的应聘者须在规定时间携带报名表（招聘网站报名系统打印）及相关证明材料原件及复印件到指定地点进行资格复查和复试。相关证明材料包括身份证、学历证、学位证、工作经历证明及相关证书等，有国（境）外留学经历的考生需提供国（境）外学历学位认证。应聘者提交的复查材料应当真实、准确，凡提供虚假及不符合报名条件的材料，一经查实，即取消复试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复试为综合素质能力考察。主要考察应聘者综合能力、抗压能力、业务熟练程度、以及对应聘者适合招聘岗位要求的职业素质进行测评，时间原则上控制在8分钟内。复试成绩按百分制计算，复试评委组成员的平均分（去除1个最高分和1个最低分后）为复试成绩（保留小数点后两位），75分及以上为合格，75分以下的考生不再计算总分。复试成绩在复试结束后当场向应聘者公布。复试使用统一试题的，复试期间应当对考生实行封闭式管理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3.最终成绩的计算方法：初试、复试成绩按5：5比例合成总成绩，总成绩为100分，合格线为60分。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4.符合报考资格的名单以及初试、复试的时间、地点在我校招聘网站上公告。</w:t>
      </w:r>
    </w:p>
    <w:p>
      <w:pPr>
        <w:spacing w:line="520" w:lineRule="exact"/>
        <w:ind w:firstLine="614" w:firstLineChars="192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七、体检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拟聘人数，按照考生总成绩从高分到低分确定等额体检人选。根据《广东省事业单位公开招聘人员体检实施细则（试行）》规定，组织体检人选到指定区级以上综合性医院进行体检。体检不合格的，可按成绩高低在具备候选资格人员中依次递补。体检所需费用由招聘单位支出。</w:t>
      </w:r>
    </w:p>
    <w:p>
      <w:pPr>
        <w:spacing w:line="520" w:lineRule="exact"/>
        <w:ind w:firstLine="614" w:firstLineChars="192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八、考察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对体检合格者，按照《广东省事业单位公开招聘人员考察工作实施细则（试行）》进行组织考察。因考察不合格或放弃聘用的，可在同一岗位中按报考人员总成绩由高分到低分依次递补。</w:t>
      </w:r>
    </w:p>
    <w:p>
      <w:pPr>
        <w:spacing w:line="560" w:lineRule="exact"/>
        <w:ind w:firstLine="6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九、确定拟聘人员及公示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体检、考察合格者，经学校确定拟聘人选。拟聘人选在同级组织人社部门网站公示7个工作日。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十、办理聘用手续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拟聘用人员经公示无异议的，学校按照有关规定办理聘用手续，与聘用人员签订聘用合同，并严格履行合同条款。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十一、联系方式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招聘联系电话：0757—83962588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、13735877566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（佛山科学技术学院人力资源处刘老师）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监督投诉电话：0757—83967011（佛山科学技术学院纪委办、监察处） 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联系地址：广东省佛山市南海区狮山镇广云路33号佛山科学技术学院人力资源处人事管理科A1-417，邮编528225。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DAB015-B4E5-474C-843D-52C362CCC6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F4A407C-35C2-433F-BEB1-F010C71B882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D7A3475-6B1C-4B0D-8B5C-6CFE48F27E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161467D-438A-42A7-A473-36E4BF86F0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913"/>
        <w:tab w:val="clear" w:pos="4153"/>
      </w:tabs>
      <w:ind w:right="360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6"/>
                            </w:rPr>
                            <w:id w:val="-949777444"/>
                          </w:sdtPr>
                          <w:sdtEndPr>
                            <w:rPr>
                              <w:rStyle w:val="6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Style w:val="6"/>
                                </w:rPr>
                              </w:pPr>
                              <w:r>
                                <w:rPr>
                                  <w:rStyle w:val="6"/>
                                </w:rPr>
                                <w:fldChar w:fldCharType="begin"/>
                              </w:r>
                              <w:r>
                                <w:rPr>
                                  <w:rStyle w:val="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</w:rPr>
                                <w:t>1</w:t>
                              </w:r>
                              <w:r>
                                <w:rPr>
                                  <w:rStyle w:val="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6"/>
                      </w:rPr>
                      <w:id w:val="-949777444"/>
                    </w:sdtPr>
                    <w:sdtEndPr>
                      <w:rPr>
                        <w:rStyle w:val="6"/>
                      </w:rPr>
                    </w:sdtEndPr>
                    <w:sdtContent>
                      <w:p>
                        <w:pPr>
                          <w:pStyle w:val="2"/>
                          <w:rPr>
                            <w:rStyle w:val="6"/>
                          </w:rPr>
                        </w:pPr>
                        <w:r>
                          <w:rPr>
                            <w:rStyle w:val="6"/>
                          </w:rPr>
                          <w:fldChar w:fldCharType="begin"/>
                        </w:r>
                        <w:r>
                          <w:rPr>
                            <w:rStyle w:val="6"/>
                          </w:rPr>
                          <w:instrText xml:space="preserve"> PAGE </w:instrText>
                        </w:r>
                        <w:r>
                          <w:rPr>
                            <w:rStyle w:val="6"/>
                          </w:rPr>
                          <w:fldChar w:fldCharType="separate"/>
                        </w:r>
                        <w:r>
                          <w:rPr>
                            <w:rStyle w:val="6"/>
                          </w:rPr>
                          <w:t>1</w:t>
                        </w:r>
                        <w:r>
                          <w:rPr>
                            <w:rStyle w:val="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59063414"/>
    </w:sdtPr>
    <w:sdtEndPr>
      <w:rPr>
        <w:rStyle w:val="6"/>
      </w:rPr>
    </w:sdtEndPr>
    <w:sdtContent>
      <w:p>
        <w:pPr>
          <w:pStyle w:val="2"/>
          <w:framePr w:wrap="around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A1A6C"/>
    <w:rsid w:val="00005925"/>
    <w:rsid w:val="000849E2"/>
    <w:rsid w:val="00114513"/>
    <w:rsid w:val="001F1252"/>
    <w:rsid w:val="002052F7"/>
    <w:rsid w:val="00306B4B"/>
    <w:rsid w:val="003D5485"/>
    <w:rsid w:val="00534905"/>
    <w:rsid w:val="008161AA"/>
    <w:rsid w:val="00846322"/>
    <w:rsid w:val="009740DF"/>
    <w:rsid w:val="00A6368C"/>
    <w:rsid w:val="00B02C22"/>
    <w:rsid w:val="00B30A86"/>
    <w:rsid w:val="00B81439"/>
    <w:rsid w:val="00C412FC"/>
    <w:rsid w:val="00CB5D5B"/>
    <w:rsid w:val="00D20461"/>
    <w:rsid w:val="00F058CC"/>
    <w:rsid w:val="05864155"/>
    <w:rsid w:val="075356CB"/>
    <w:rsid w:val="194A74C0"/>
    <w:rsid w:val="1B9F560D"/>
    <w:rsid w:val="1C353A91"/>
    <w:rsid w:val="213A1A6C"/>
    <w:rsid w:val="25AA7E20"/>
    <w:rsid w:val="2AD72726"/>
    <w:rsid w:val="2B2A31D4"/>
    <w:rsid w:val="2BBA07AD"/>
    <w:rsid w:val="33496122"/>
    <w:rsid w:val="33DA5961"/>
    <w:rsid w:val="3844319E"/>
    <w:rsid w:val="3ACA263E"/>
    <w:rsid w:val="40656D52"/>
    <w:rsid w:val="414F5F11"/>
    <w:rsid w:val="42400CB9"/>
    <w:rsid w:val="437D6C18"/>
    <w:rsid w:val="47B03A2C"/>
    <w:rsid w:val="4C783686"/>
    <w:rsid w:val="4D4B4331"/>
    <w:rsid w:val="516D03A3"/>
    <w:rsid w:val="526E58B4"/>
    <w:rsid w:val="56305946"/>
    <w:rsid w:val="565E6C76"/>
    <w:rsid w:val="5AD54353"/>
    <w:rsid w:val="69F96A95"/>
    <w:rsid w:val="6F2D55CE"/>
    <w:rsid w:val="7262797C"/>
    <w:rsid w:val="7EFBA075"/>
    <w:rsid w:val="7FB841F4"/>
    <w:rsid w:val="FEEF4D6F"/>
    <w:rsid w:val="FF9FA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498</Words>
  <Characters>2839</Characters>
  <Lines>23</Lines>
  <Paragraphs>6</Paragraphs>
  <TotalTime>44</TotalTime>
  <ScaleCrop>false</ScaleCrop>
  <LinksUpToDate>false</LinksUpToDate>
  <CharactersWithSpaces>3331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2021-01-08T09:16:00Z</dcterms:created>
  <dc:creator>嘎嘣脆儿</dc:creator>
  <cp:lastModifiedBy>嘎嘣脆儿</cp:lastModifiedBy>
  <cp:lastPrinted>2020-11-25T03:17:00Z</cp:lastPrinted>
  <dcterms:modified xsi:type="dcterms:W3CDTF">2021-01-15T00:48:17Z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